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文星标宋" w:hAnsi="文星标宋" w:eastAsia="文星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文星标宋" w:hAnsi="文星标宋" w:eastAsia="文星标宋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文星标宋" w:hAnsi="文星标宋" w:eastAsia="文星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市南区初中学校</w:t>
      </w:r>
    </w:p>
    <w:p>
      <w:pPr>
        <w:spacing w:line="560" w:lineRule="exact"/>
        <w:jc w:val="center"/>
        <w:rPr>
          <w:rFonts w:ascii="文星标宋" w:hAnsi="文星标宋" w:eastAsia="文星标宋"/>
          <w:color w:val="000000" w:themeColor="text1"/>
          <w:spacing w:val="18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文星标宋" w:hAnsi="文星标宋" w:eastAsia="文星标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足球后备人才招生</w:t>
      </w:r>
      <w:bookmarkStart w:id="0" w:name="_GoBack"/>
      <w:bookmarkEnd w:id="0"/>
      <w:r>
        <w:rPr>
          <w:rFonts w:hint="eastAsia" w:ascii="文星标宋" w:hAnsi="文星标宋" w:eastAsia="文星标宋"/>
          <w:color w:val="000000" w:themeColor="text1"/>
          <w:spacing w:val="18"/>
          <w:sz w:val="44"/>
          <w:szCs w:val="44"/>
          <w14:textFill>
            <w14:solidFill>
              <w14:schemeClr w14:val="tx1"/>
            </w14:solidFill>
          </w14:textFill>
        </w:rPr>
        <w:t>测试办法与标准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《青岛市中小学足球后备人才招收选拔测试方法与标准（暂行）的通知》，参照《国家学生体质健康标准》《山东省高水平足球运动员测试方法及标准》，结合小学生的身体素质和专项技术的实际情况，制定本办法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一、测试内容与所占分值</w:t>
      </w:r>
    </w:p>
    <w:tbl>
      <w:tblPr>
        <w:tblStyle w:val="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936"/>
        <w:gridCol w:w="932"/>
        <w:gridCol w:w="1200"/>
        <w:gridCol w:w="1065"/>
        <w:gridCol w:w="932"/>
        <w:gridCol w:w="1069"/>
        <w:gridCol w:w="12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85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类别</w:t>
            </w:r>
          </w:p>
        </w:tc>
        <w:tc>
          <w:tcPr>
            <w:tcW w:w="1800" w:type="pct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身体素质</w:t>
            </w:r>
          </w:p>
        </w:tc>
        <w:tc>
          <w:tcPr>
            <w:tcW w:w="1799" w:type="pct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基本技术</w:t>
            </w:r>
          </w:p>
        </w:tc>
        <w:tc>
          <w:tcPr>
            <w:tcW w:w="716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实战能力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685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测试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内容</w:t>
            </w:r>
          </w:p>
        </w:tc>
        <w:tc>
          <w:tcPr>
            <w:tcW w:w="549" w:type="pct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立定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跳远</w:t>
            </w:r>
          </w:p>
        </w:tc>
        <w:tc>
          <w:tcPr>
            <w:tcW w:w="54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50米跑</w:t>
            </w:r>
          </w:p>
        </w:tc>
        <w:tc>
          <w:tcPr>
            <w:tcW w:w="704" w:type="pct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ind w:firstLine="120" w:firstLineChars="5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5×25米折返跑</w:t>
            </w:r>
          </w:p>
        </w:tc>
        <w:tc>
          <w:tcPr>
            <w:tcW w:w="625" w:type="pct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颠球</w:t>
            </w:r>
          </w:p>
        </w:tc>
        <w:tc>
          <w:tcPr>
            <w:tcW w:w="54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定位球传准</w:t>
            </w:r>
          </w:p>
        </w:tc>
        <w:tc>
          <w:tcPr>
            <w:tcW w:w="626" w:type="pct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运球过杆射门</w:t>
            </w:r>
          </w:p>
        </w:tc>
        <w:tc>
          <w:tcPr>
            <w:tcW w:w="716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比赛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685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各项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分值</w:t>
            </w:r>
          </w:p>
        </w:tc>
        <w:tc>
          <w:tcPr>
            <w:tcW w:w="549" w:type="pct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5</w:t>
            </w:r>
          </w:p>
        </w:tc>
        <w:tc>
          <w:tcPr>
            <w:tcW w:w="54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10</w:t>
            </w:r>
          </w:p>
        </w:tc>
        <w:tc>
          <w:tcPr>
            <w:tcW w:w="704" w:type="pct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</w:t>
            </w:r>
          </w:p>
        </w:tc>
        <w:tc>
          <w:tcPr>
            <w:tcW w:w="625" w:type="pct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10</w:t>
            </w:r>
          </w:p>
        </w:tc>
        <w:tc>
          <w:tcPr>
            <w:tcW w:w="54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</w:t>
            </w:r>
          </w:p>
        </w:tc>
        <w:tc>
          <w:tcPr>
            <w:tcW w:w="626" w:type="pct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</w:t>
            </w:r>
          </w:p>
        </w:tc>
        <w:tc>
          <w:tcPr>
            <w:tcW w:w="716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5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总分值</w:t>
            </w:r>
          </w:p>
        </w:tc>
        <w:tc>
          <w:tcPr>
            <w:tcW w:w="1800" w:type="pct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30</w:t>
            </w:r>
          </w:p>
        </w:tc>
        <w:tc>
          <w:tcPr>
            <w:tcW w:w="1799" w:type="pct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40</w:t>
            </w:r>
          </w:p>
        </w:tc>
        <w:tc>
          <w:tcPr>
            <w:tcW w:w="716" w:type="pc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30</w:t>
            </w:r>
          </w:p>
        </w:tc>
      </w:tr>
    </w:tbl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二、非守门员测试方法与评分标准</w:t>
      </w:r>
    </w:p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（一）身体素质（30分）</w:t>
      </w:r>
    </w:p>
    <w:p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1.立定跳远（5分）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评分标准：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1"/>
        <w:gridCol w:w="1420"/>
        <w:gridCol w:w="14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成绩（厘米）</w:t>
            </w:r>
          </w:p>
        </w:tc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成绩（厘米）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225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195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2.5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200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220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190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195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215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185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190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210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180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185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205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175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0.5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180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150</w:t>
            </w:r>
          </w:p>
        </w:tc>
      </w:tr>
    </w:tbl>
    <w:p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2.50米跑（10分）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评分标准：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1"/>
        <w:gridCol w:w="1420"/>
        <w:gridCol w:w="14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7.8 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9.5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7.9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8.5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7.5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8.7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9.4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9.2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9.9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6.5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9.7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5.5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10.3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0.5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12.0</w:t>
            </w:r>
          </w:p>
        </w:tc>
      </w:tr>
    </w:tbl>
    <w:p>
      <w:pPr>
        <w:spacing w:line="520" w:lineRule="exact"/>
        <w:ind w:firstLine="633" w:firstLineChars="197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3.5×25米折返跑（15分）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测试方法：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从起跑线向场内垂直方向快跑，在跑动过程中依次用手击倒位于5米、10米、15米、20米和25米各处的标识物后返回起跑线，每击倒一个标识物立即返回一次（须将标识物击倒，否则不计成绩）。以站立式起跑，脚动开表，完成所有折返距离回起跑线时停表。每人测试一次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评分标准：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2"/>
        <w:gridCol w:w="1419"/>
        <w:gridCol w:w="1421"/>
        <w:gridCol w:w="14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6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  <w:tc>
          <w:tcPr>
            <w:tcW w:w="832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  <w:tc>
          <w:tcPr>
            <w:tcW w:w="832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15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48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53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14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49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54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13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55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12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51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56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11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52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57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53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58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9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8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55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83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</w:tr>
    </w:tbl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（二）基本技术（40分）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1.颠球（10分）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测试方法：（1）脚背、腿部颠球（球落地及手、手臂触球即判颠球结束），运动范围2米直径范围内颠球；（2）每人测试两次，取最高成绩。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评分标准：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1"/>
        <w:gridCol w:w="1420"/>
        <w:gridCol w:w="14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成绩（个）</w:t>
            </w:r>
          </w:p>
        </w:tc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50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50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45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45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40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40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5</w:t>
            </w:r>
          </w:p>
        </w:tc>
      </w:tr>
    </w:tbl>
    <w:p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2.定位球踢准（15分）</w:t>
      </w:r>
    </w:p>
    <w:p>
      <w:pPr>
        <w:spacing w:beforeLines="50"/>
        <w:rPr>
          <w:sz w:val="32"/>
          <w:szCs w:val="32"/>
        </w:rPr>
      </w:pPr>
      <w:r>
        <w:rPr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151130</wp:posOffset>
            </wp:positionV>
            <wp:extent cx="4514850" cy="1808480"/>
            <wp:effectExtent l="0" t="0" r="0" b="1270"/>
            <wp:wrapNone/>
            <wp:docPr id="6" name="Picture 4" descr="未标题-1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未标题-1 拷贝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80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beforeLines="50"/>
        <w:rPr>
          <w:sz w:val="32"/>
          <w:szCs w:val="32"/>
        </w:rPr>
      </w:pPr>
    </w:p>
    <w:p>
      <w:pPr>
        <w:spacing w:beforeLines="50"/>
        <w:rPr>
          <w:sz w:val="32"/>
          <w:szCs w:val="32"/>
        </w:rPr>
      </w:pPr>
    </w:p>
    <w:p>
      <w:pPr>
        <w:spacing w:beforeLines="50"/>
        <w:rPr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场地设置：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（1）以O为圆心，以2、3、4米为半径，分别画里、外三个圆，圆心处插上一根0.5米高并系有彩旗的标志杆，作为传准的目标。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（2）以规定距离（</w:t>
      </w:r>
      <w:r>
        <w:rPr>
          <w:rFonts w:hint="eastAsia" w:ascii="仿宋_GB2312" w:eastAsia="仿宋_GB2312"/>
          <w:sz w:val="32"/>
          <w:szCs w:val="32"/>
          <w:lang w:eastAsia="zh-CN"/>
        </w:rPr>
        <w:t>男生</w:t>
      </w:r>
      <w:r>
        <w:rPr>
          <w:rFonts w:hint="eastAsia" w:ascii="仿宋_GB2312" w:eastAsia="仿宋_GB2312"/>
          <w:sz w:val="32"/>
          <w:szCs w:val="32"/>
        </w:rPr>
        <w:t>为15米，</w:t>
      </w:r>
      <w:r>
        <w:rPr>
          <w:rFonts w:hint="eastAsia" w:ascii="仿宋_GB2312" w:eastAsia="仿宋_GB2312"/>
          <w:sz w:val="32"/>
          <w:szCs w:val="32"/>
          <w:lang w:eastAsia="zh-CN"/>
        </w:rPr>
        <w:t>女生</w:t>
      </w:r>
      <w:r>
        <w:rPr>
          <w:rFonts w:hint="eastAsia" w:ascii="仿宋_GB2312" w:eastAsia="仿宋_GB2312"/>
          <w:sz w:val="32"/>
          <w:szCs w:val="32"/>
        </w:rPr>
        <w:t>为12米）为半径，从圆心向任何方向画一个5米长的弧为传球限制线。如图1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测试方法：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（1）考生将球放在限制线上，用任何一脚向圆圈里传球，球落在圆圈里或圈线上均为有效。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（2）每人连续做5次，每次均记录成绩，5次成绩之和为该项考试成绩。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评分标准：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该项成绩满分为15分，每踢中半径为2米圈内则得3分（包括落在线上），每踢中半径为3米圈内则得2分（包括落在线上），每踢中半径为4米圈内则得1分（包括落在线上），未踢中者不计成绩。</w:t>
      </w:r>
    </w:p>
    <w:p>
      <w:pPr>
        <w:spacing w:line="52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280035</wp:posOffset>
            </wp:positionV>
            <wp:extent cx="5543550" cy="2493010"/>
            <wp:effectExtent l="0" t="0" r="0" b="2540"/>
            <wp:wrapNone/>
            <wp:docPr id="5" name="图片 1" descr="未标题-2 拷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未标题-2 拷贝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  <w:b/>
          <w:sz w:val="32"/>
          <w:szCs w:val="32"/>
        </w:rPr>
        <w:t>3.运球过杆射门（15分）</w:t>
      </w:r>
    </w:p>
    <w:p>
      <w:pPr>
        <w:spacing w:beforeLines="50"/>
        <w:rPr>
          <w:rFonts w:ascii="宋体" w:hAnsi="宋体"/>
          <w:sz w:val="32"/>
          <w:szCs w:val="32"/>
        </w:rPr>
      </w:pPr>
    </w:p>
    <w:p>
      <w:pPr>
        <w:spacing w:beforeLines="50"/>
        <w:rPr>
          <w:rFonts w:ascii="宋体" w:hAnsi="宋体"/>
          <w:sz w:val="32"/>
          <w:szCs w:val="32"/>
        </w:rPr>
      </w:pPr>
    </w:p>
    <w:p>
      <w:pPr>
        <w:spacing w:beforeLines="50"/>
        <w:rPr>
          <w:rFonts w:ascii="宋体" w:hAnsi="宋体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场地设置：（小学以7 人制比赛场地、初中以11人制比赛场地的罚球区为标准）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（1）在罚球区线中点处，画一条24米长的垂线，距罚球区线之远端为起点。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（2）距罚球区线3米处起，沿20米垂线插置标杆8根、杆间距离2米，第8根距起点3米。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（3）杆垂直固定在地上，插入地下深度不限，以考生碰不倒杆为宜。杆高1.5米。如图2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测试方法：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（1）考生从起点开始运球，脚触球则立即开表计时，运球逐个绕过杆后射门，球越过球门线时停表；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（2）每人两次机会，选取最好成绩为最终成绩，并记录有效；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（3）运球漏杆者，成绩无效；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（4）射门不进者扣3分，射中球门立柱、横梁弹回场地者扣2分。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评分标准：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1"/>
        <w:gridCol w:w="1420"/>
        <w:gridCol w:w="14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  <w:tc>
          <w:tcPr>
            <w:tcW w:w="83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分值</w:t>
            </w:r>
          </w:p>
        </w:tc>
        <w:tc>
          <w:tcPr>
            <w:tcW w:w="1667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成绩（秒）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  <w:tc>
          <w:tcPr>
            <w:tcW w:w="83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男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11.0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7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11.8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12.0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13.6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12.4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83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</w:tr>
    </w:tbl>
    <w:p>
      <w:pPr>
        <w:spacing w:line="520" w:lineRule="exact"/>
        <w:ind w:firstLine="627" w:firstLineChars="196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（三）实战能力（比赛）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测试方法：视考生人数分队进行比赛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分标准：考评员依据实战评分表（如下表），对考生的技术能力、战术能力、心理素质及比赛作风四个方面进行综合评定，按10分制打分，所打分数至多可到小数点后1位。（注：3名评委分数直接相加为最终得分；5名评委去掉最高分和最低分，剩余3名评委分数相加为最终得分）</w:t>
      </w:r>
    </w:p>
    <w:tbl>
      <w:tblPr>
        <w:tblStyle w:val="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992"/>
        <w:gridCol w:w="2073"/>
        <w:gridCol w:w="1776"/>
        <w:gridCol w:w="18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5000" w:type="pct"/>
            <w:gridSpan w:val="5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实战评分表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500" w:type="pc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等级</w:t>
            </w:r>
          </w:p>
        </w:tc>
        <w:tc>
          <w:tcPr>
            <w:tcW w:w="1169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优</w:t>
            </w:r>
          </w:p>
        </w:tc>
        <w:tc>
          <w:tcPr>
            <w:tcW w:w="1216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良</w:t>
            </w:r>
          </w:p>
        </w:tc>
        <w:tc>
          <w:tcPr>
            <w:tcW w:w="1042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</w:t>
            </w:r>
          </w:p>
        </w:tc>
        <w:tc>
          <w:tcPr>
            <w:tcW w:w="1073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pc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分值</w:t>
            </w:r>
          </w:p>
        </w:tc>
        <w:tc>
          <w:tcPr>
            <w:tcW w:w="1169" w:type="pct"/>
          </w:tcPr>
          <w:p>
            <w:pPr>
              <w:tabs>
                <w:tab w:val="left" w:pos="1365"/>
              </w:tabs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10—8.6分</w:t>
            </w:r>
          </w:p>
        </w:tc>
        <w:tc>
          <w:tcPr>
            <w:tcW w:w="1216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8.5—7.6分</w:t>
            </w:r>
          </w:p>
        </w:tc>
        <w:tc>
          <w:tcPr>
            <w:tcW w:w="1042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7.5—6.0分</w:t>
            </w:r>
          </w:p>
        </w:tc>
        <w:tc>
          <w:tcPr>
            <w:tcW w:w="1073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6.0分以下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500" w:type="pc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</w:t>
            </w:r>
          </w:p>
        </w:tc>
        <w:tc>
          <w:tcPr>
            <w:tcW w:w="1169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战术意识水平表现突出，位置攻守职责完成很好；对抗情况下技术动作运用及完成合理、规范，比赛作风顽强、心理状态稳定。</w:t>
            </w:r>
          </w:p>
        </w:tc>
        <w:tc>
          <w:tcPr>
            <w:tcW w:w="1216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战术意识水平表现良好，位置攻守职责完成良好，对抗情况下技术动作运用较合理、完成动作比较规范，比赛作风良好，心理状态稳定。</w:t>
            </w:r>
          </w:p>
        </w:tc>
        <w:tc>
          <w:tcPr>
            <w:tcW w:w="1042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战术意识水平表现一般，位置攻守职责完成一般；对抗情况下技术动作运用合理、完成动作基本规范，比赛作风较好、心理状态较稳定。</w:t>
            </w:r>
          </w:p>
        </w:tc>
        <w:tc>
          <w:tcPr>
            <w:tcW w:w="1073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战术意识水平表现差，位置攻守职责不清楚，完成很差；对抗情况下技术动作运用不合理、完成动作不规范、比赛作风一般、心理状态不稳定。</w:t>
            </w:r>
          </w:p>
        </w:tc>
      </w:tr>
    </w:tbl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三、守门员测试方法及评分标准</w:t>
      </w:r>
    </w:p>
    <w:p>
      <w:pPr>
        <w:spacing w:line="52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（一）身体素质30分、基本技术40分，测试项目、测试办法和评分标准同非守门员。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（二）守门员技术30分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1.测试内容：扑接球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2.测试方法：考生守门，扑接10个由考官用手抛出的地滚球、半高球、高空球以及需要倒地扑救的球。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评分标准：考评员参照扑接球评分表（如下表），独立对考生进行技术技能评定，按10分值打分，所打分数最多可得小数点后2位。（注：3名评委分数直接相加为最终得分；5名评委去掉最高分和最低分，剩余3名评委分数相加为最终得分）</w:t>
      </w:r>
    </w:p>
    <w:tbl>
      <w:tblPr>
        <w:tblStyle w:val="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扑接球评分表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等级</w:t>
            </w:r>
          </w:p>
        </w:tc>
        <w:tc>
          <w:tcPr>
            <w:tcW w:w="1000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优</w:t>
            </w:r>
          </w:p>
        </w:tc>
        <w:tc>
          <w:tcPr>
            <w:tcW w:w="1000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良</w:t>
            </w:r>
          </w:p>
        </w:tc>
        <w:tc>
          <w:tcPr>
            <w:tcW w:w="1000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</w:t>
            </w:r>
          </w:p>
        </w:tc>
        <w:tc>
          <w:tcPr>
            <w:tcW w:w="1000" w:type="pct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分值</w:t>
            </w:r>
          </w:p>
        </w:tc>
        <w:tc>
          <w:tcPr>
            <w:tcW w:w="1000" w:type="pct"/>
          </w:tcPr>
          <w:p>
            <w:pPr>
              <w:tabs>
                <w:tab w:val="left" w:pos="1365"/>
              </w:tabs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10—8.6分</w:t>
            </w:r>
            <w:r>
              <w:rPr>
                <w:rFonts w:hint="eastAsia" w:ascii="仿宋" w:hAnsi="仿宋" w:eastAsia="仿宋" w:cs="仿宋"/>
                <w:sz w:val="24"/>
              </w:rPr>
              <w:tab/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8.5—7.6分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7.5—6.0分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6.0分以下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技术动作规范，动作运用合理，选位意识好，身体移动快速、协调。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技术动作规范，动作运用合理，选位意识较好，身体移动快速、协调。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技术动作基本规范，动作运用较合理，选位意识尚可，身体移动较快、较协调。</w:t>
            </w:r>
          </w:p>
        </w:tc>
        <w:tc>
          <w:tcPr>
            <w:tcW w:w="1000" w:type="pct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动作技术不规范，动作运用不合理，选位意识较差，身体移动较慢、不协调。</w:t>
            </w:r>
          </w:p>
        </w:tc>
      </w:tr>
    </w:tbl>
    <w:p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四、本办法由市南区教育和体育局负责解释。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ZWUwZjkzOWYzNDQxYjMwNDAwZTg3ZjU4OTliZTcifQ=="/>
  </w:docVars>
  <w:rsids>
    <w:rsidRoot w:val="00000000"/>
    <w:rsid w:val="5A36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2024-04-18T00:00:41Z</dcterms:created>
  <dc:creator>Administrator.SC-201810190904</dc:creator>
  <cp:lastModifiedBy>Administrator</cp:lastModifiedBy>
  <dcterms:modified xsi:type="dcterms:W3CDTF">2024-04-18T00:01:22Z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AFCE6B0542694A5EBA443E1BD2092F48_12</vt:lpwstr>
  </property>
</Properties>
</file>